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2BD59556"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DE2BAC">
        <w:rPr>
          <w:rFonts w:eastAsia="Times New Roman"/>
          <w:bCs/>
          <w:sz w:val="24"/>
          <w:szCs w:val="24"/>
          <w:lang w:eastAsia="ja-JP"/>
        </w:rPr>
        <w:t>#100</w:t>
      </w:r>
      <w:r w:rsidR="00744BF8">
        <w:rPr>
          <w:rFonts w:eastAsia="Times New Roman"/>
          <w:bCs/>
          <w:sz w:val="24"/>
          <w:szCs w:val="24"/>
          <w:lang w:eastAsia="ja-JP"/>
        </w:rPr>
        <w:t xml:space="preserve"> </w:t>
      </w:r>
      <w:r>
        <w:rPr>
          <w:rFonts w:eastAsia="Times New Roman"/>
          <w:bCs/>
          <w:sz w:val="24"/>
          <w:szCs w:val="24"/>
          <w:lang w:eastAsia="ja-JP"/>
        </w:rPr>
        <w:t xml:space="preserve"> </w:t>
      </w:r>
      <w:r w:rsidR="00744BF8">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654F30">
        <w:rPr>
          <w:rFonts w:eastAsia="Times New Roman"/>
          <w:bCs/>
          <w:sz w:val="24"/>
          <w:szCs w:val="24"/>
          <w:lang w:eastAsia="ja-JP"/>
        </w:rPr>
        <w:t xml:space="preserve">              </w:t>
      </w:r>
      <w:r w:rsidR="0014254A">
        <w:rPr>
          <w:rFonts w:eastAsia="Times New Roman"/>
          <w:bCs/>
          <w:sz w:val="24"/>
          <w:szCs w:val="24"/>
          <w:lang w:eastAsia="ja-JP"/>
        </w:rPr>
        <w:t>R2-</w:t>
      </w:r>
      <w:r w:rsidR="002C1CC2" w:rsidRPr="002C1CC2">
        <w:t xml:space="preserve"> </w:t>
      </w:r>
      <w:r w:rsidR="002C1CC2" w:rsidRPr="002C1CC2">
        <w:rPr>
          <w:rFonts w:eastAsia="Times New Roman"/>
          <w:bCs/>
          <w:sz w:val="24"/>
          <w:szCs w:val="24"/>
          <w:lang w:eastAsia="ja-JP"/>
        </w:rPr>
        <w:t>1712886</w:t>
      </w:r>
    </w:p>
    <w:p w14:paraId="54A057F1" w14:textId="5AC49792" w:rsidR="00156A1A" w:rsidRDefault="00DE2BAC"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DE2BAC">
        <w:rPr>
          <w:rFonts w:eastAsia="Times New Roman"/>
          <w:bCs/>
          <w:sz w:val="24"/>
          <w:szCs w:val="24"/>
          <w:lang w:eastAsia="ja-JP"/>
        </w:rPr>
        <w:t xml:space="preserve">Reno, Nevada, USA, 27th </w:t>
      </w:r>
      <w:r w:rsidR="00B21B56">
        <w:rPr>
          <w:rFonts w:eastAsia="新細明體" w:cs="Arial"/>
          <w:noProof w:val="0"/>
          <w:sz w:val="24"/>
          <w:szCs w:val="28"/>
          <w:lang w:val="en-US" w:eastAsia="zh-TW"/>
        </w:rPr>
        <w:t xml:space="preserve">November </w:t>
      </w:r>
      <w:r w:rsidRPr="00DE2BAC">
        <w:rPr>
          <w:rFonts w:eastAsia="Times New Roman"/>
          <w:bCs/>
          <w:sz w:val="24"/>
          <w:szCs w:val="24"/>
          <w:lang w:eastAsia="ja-JP"/>
        </w:rPr>
        <w:t>– 1st December 2017</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46CC2758"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1F1154">
        <w:rPr>
          <w:b/>
          <w:noProof/>
          <w:sz w:val="24"/>
        </w:rPr>
        <w:t>4.1.4.4</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464EFB99"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A63E65" w:rsidRPr="00A63E65">
        <w:rPr>
          <w:b/>
          <w:noProof/>
          <w:sz w:val="24"/>
        </w:rPr>
        <w:t>M</w:t>
      </w:r>
      <w:r w:rsidR="001F1154" w:rsidRPr="00A63E65">
        <w:rPr>
          <w:b/>
          <w:noProof/>
          <w:sz w:val="24"/>
        </w:rPr>
        <w:t>easur</w:t>
      </w:r>
      <w:r w:rsidR="00A63E65" w:rsidRPr="00A63E65">
        <w:rPr>
          <w:b/>
          <w:noProof/>
          <w:sz w:val="24"/>
        </w:rPr>
        <w:t>e</w:t>
      </w:r>
      <w:r w:rsidR="001F1154" w:rsidRPr="00A63E65">
        <w:rPr>
          <w:b/>
          <w:noProof/>
          <w:sz w:val="24"/>
        </w:rPr>
        <w:t>ment</w:t>
      </w:r>
      <w:r w:rsidR="001F1154">
        <w:rPr>
          <w:b/>
          <w:noProof/>
          <w:sz w:val="24"/>
        </w:rPr>
        <w:t xml:space="preserve"> Gap Design for EN-DC</w:t>
      </w:r>
    </w:p>
    <w:bookmarkEnd w:id="1"/>
    <w:bookmarkEnd w:id="2"/>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2441AE58" w:rsidR="00EF6D7A" w:rsidRDefault="00977AF4" w:rsidP="00977AF4">
      <w:pPr>
        <w:pStyle w:val="Doc-text2"/>
        <w:tabs>
          <w:tab w:val="left" w:pos="340"/>
        </w:tabs>
        <w:ind w:left="0" w:firstLine="0"/>
        <w:jc w:val="both"/>
      </w:pPr>
      <w:r>
        <w:t xml:space="preserve">In </w:t>
      </w:r>
      <w:r w:rsidR="00891B43">
        <w:t xml:space="preserve">the </w:t>
      </w:r>
      <w:r w:rsidR="00A579E8" w:rsidRPr="0027493D">
        <w:t>Berlin</w:t>
      </w:r>
      <w:r w:rsidR="00A579E8">
        <w:t xml:space="preserve"> </w:t>
      </w:r>
      <w:r w:rsidR="00580DF2">
        <w:t xml:space="preserve">meetings, </w:t>
      </w:r>
      <w:r w:rsidR="00A53BBC">
        <w:t>RAN2 has decided to wait RAN4 input on measurement gap design</w:t>
      </w:r>
      <w:r w:rsidR="001E3A60">
        <w:t>.</w:t>
      </w:r>
    </w:p>
    <w:p w14:paraId="2796B8C5" w14:textId="77777777" w:rsidR="008135C8" w:rsidRDefault="008135C8" w:rsidP="008135C8">
      <w:pPr>
        <w:pStyle w:val="Doc-text2"/>
        <w:tabs>
          <w:tab w:val="left" w:pos="340"/>
        </w:tabs>
        <w:ind w:left="0" w:firstLine="0"/>
        <w:jc w:val="both"/>
      </w:pPr>
    </w:p>
    <w:p w14:paraId="589EAE00" w14:textId="5ACA0C6A" w:rsidR="00BE2E42" w:rsidRPr="00802381" w:rsidRDefault="00A579E8"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 #99</w:t>
      </w:r>
      <w:r w:rsidR="00BE2E42">
        <w:rPr>
          <w:b/>
        </w:rPr>
        <w:t xml:space="preserve"> </w:t>
      </w:r>
    </w:p>
    <w:p w14:paraId="0F08B9DD" w14:textId="12034E12" w:rsidR="00891B43" w:rsidRDefault="00A579E8" w:rsidP="00A579E8">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A579E8">
        <w:t>We will wait for RAN4 to provide us with information before we progress with measurement gaps</w:t>
      </w:r>
    </w:p>
    <w:p w14:paraId="23D6B13A" w14:textId="77777777" w:rsidR="00A579E8" w:rsidRDefault="00A579E8" w:rsidP="008135C8">
      <w:pPr>
        <w:pStyle w:val="Doc-text2"/>
        <w:tabs>
          <w:tab w:val="left" w:pos="340"/>
        </w:tabs>
        <w:ind w:left="0" w:firstLine="0"/>
        <w:jc w:val="both"/>
      </w:pPr>
    </w:p>
    <w:p w14:paraId="47837CF4" w14:textId="5AD70E45" w:rsidR="00842B3E" w:rsidRDefault="007F05CD" w:rsidP="008135C8">
      <w:pPr>
        <w:pStyle w:val="Doc-text2"/>
        <w:tabs>
          <w:tab w:val="left" w:pos="340"/>
        </w:tabs>
        <w:ind w:left="0" w:firstLine="0"/>
        <w:jc w:val="both"/>
      </w:pPr>
      <w:r>
        <w:t>RAN4 has made some agreement on measurement gap design and an LS is sent to RAN2 [1]. In this pap</w:t>
      </w:r>
      <w:r w:rsidR="001F1154">
        <w:t xml:space="preserve">er, we are going to discuss </w:t>
      </w:r>
      <w:r w:rsidR="00622951">
        <w:t>the measurement gap configuration in EN-DC</w:t>
      </w:r>
      <w:r w:rsidR="00F97BF3">
        <w:t>.</w:t>
      </w:r>
    </w:p>
    <w:p w14:paraId="0EE4BADE" w14:textId="77777777" w:rsidR="00842B3E" w:rsidRDefault="00842B3E"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1044573" w14:textId="1A855419" w:rsidR="00DA1E68" w:rsidRDefault="00E17983" w:rsidP="00D61906">
      <w:pPr>
        <w:pStyle w:val="Doc-text2"/>
        <w:tabs>
          <w:tab w:val="left" w:pos="340"/>
        </w:tabs>
        <w:ind w:left="0" w:firstLine="0"/>
        <w:jc w:val="both"/>
        <w:rPr>
          <w:lang w:val="en-GB"/>
        </w:rPr>
      </w:pPr>
      <w:r>
        <w:rPr>
          <w:lang w:val="en-GB"/>
        </w:rPr>
        <w:t xml:space="preserve">In the </w:t>
      </w:r>
      <w:r w:rsidR="00761846">
        <w:rPr>
          <w:lang w:val="en-GB"/>
        </w:rPr>
        <w:t xml:space="preserve">measurement gap </w:t>
      </w:r>
      <w:r>
        <w:rPr>
          <w:lang w:val="en-GB"/>
        </w:rPr>
        <w:t xml:space="preserve">design for LTE DC, we have the following NOTE in </w:t>
      </w:r>
      <w:r w:rsidR="00BC4E74">
        <w:rPr>
          <w:lang w:val="en-GB"/>
        </w:rPr>
        <w:t xml:space="preserve">36.331 </w:t>
      </w:r>
      <w:r w:rsidR="00DA1E68" w:rsidRPr="00DA1E68">
        <w:rPr>
          <w:lang w:val="en-GB"/>
        </w:rPr>
        <w:t>5.5.2.9 Measurement gap configuration</w:t>
      </w:r>
      <w:r w:rsidR="00217ED3">
        <w:rPr>
          <w:lang w:val="en-GB"/>
        </w:rPr>
        <w:t xml:space="preserve"> [2</w:t>
      </w:r>
      <w:r>
        <w:rPr>
          <w:lang w:val="en-GB"/>
        </w:rPr>
        <w:t>]</w:t>
      </w:r>
      <w:r w:rsidR="00DA1E68">
        <w:rPr>
          <w:lang w:val="en-GB"/>
        </w:rPr>
        <w:t>:</w:t>
      </w:r>
    </w:p>
    <w:p w14:paraId="46C113F2" w14:textId="6BF2DFB7" w:rsidR="00E17983" w:rsidRPr="00CD5D14" w:rsidRDefault="00DA1E68" w:rsidP="00D61906">
      <w:pPr>
        <w:pStyle w:val="Doc-text2"/>
        <w:tabs>
          <w:tab w:val="left" w:pos="340"/>
        </w:tabs>
        <w:ind w:left="0" w:firstLine="0"/>
        <w:jc w:val="both"/>
        <w:rPr>
          <w:rFonts w:cs="Arial"/>
          <w:lang w:val="en-GB"/>
        </w:rPr>
      </w:pPr>
      <w:r>
        <w:rPr>
          <w:lang w:val="en-GB"/>
        </w:rPr>
        <w:t>“</w:t>
      </w:r>
      <w:r w:rsidRPr="00CD5D14">
        <w:rPr>
          <w:rFonts w:cs="Arial"/>
        </w:rPr>
        <w:t>NOTE 1: The UE applies a single gap, which timing is relative to the MCG cells, even when configured with DC</w:t>
      </w:r>
      <w:r w:rsidRPr="00CD5D14">
        <w:rPr>
          <w:rFonts w:cs="Arial"/>
          <w:lang w:val="en-GB"/>
        </w:rPr>
        <w:t>”</w:t>
      </w:r>
    </w:p>
    <w:p w14:paraId="38DDF611" w14:textId="77777777" w:rsidR="00E17983" w:rsidRPr="00CD5D14" w:rsidRDefault="00E17983" w:rsidP="00D61906">
      <w:pPr>
        <w:pStyle w:val="Doc-text2"/>
        <w:tabs>
          <w:tab w:val="left" w:pos="340"/>
        </w:tabs>
        <w:ind w:left="0" w:firstLine="0"/>
        <w:jc w:val="both"/>
        <w:rPr>
          <w:rFonts w:cs="Arial"/>
          <w:lang w:val="en-GB"/>
        </w:rPr>
      </w:pPr>
    </w:p>
    <w:p w14:paraId="2C32D04F" w14:textId="5E8F97B0" w:rsidR="00761846" w:rsidRPr="00CD5D14" w:rsidRDefault="00BC4E74" w:rsidP="00D61906">
      <w:pPr>
        <w:pStyle w:val="Doc-text2"/>
        <w:tabs>
          <w:tab w:val="left" w:pos="340"/>
        </w:tabs>
        <w:ind w:left="0" w:firstLine="0"/>
        <w:jc w:val="both"/>
        <w:rPr>
          <w:rFonts w:cs="Arial"/>
          <w:lang w:val="en-GB"/>
        </w:rPr>
      </w:pPr>
      <w:r w:rsidRPr="00CD5D14">
        <w:rPr>
          <w:rFonts w:cs="Arial"/>
          <w:lang w:val="en-GB"/>
        </w:rPr>
        <w:t xml:space="preserve">A single measurement gap configuration is applied both MCG and SCG serving cells in LTE-DC. </w:t>
      </w:r>
      <w:r w:rsidR="00DA1E68" w:rsidRPr="00CD5D14">
        <w:rPr>
          <w:rFonts w:cs="Arial"/>
          <w:lang w:val="en-GB"/>
        </w:rPr>
        <w:t xml:space="preserve">For </w:t>
      </w:r>
      <w:r w:rsidRPr="00CD5D14">
        <w:rPr>
          <w:rFonts w:cs="Arial"/>
          <w:lang w:val="en-GB"/>
        </w:rPr>
        <w:t>EN-DC</w:t>
      </w:r>
      <w:r w:rsidR="00DA1E68" w:rsidRPr="00CD5D14">
        <w:rPr>
          <w:rFonts w:cs="Arial"/>
          <w:lang w:val="en-GB"/>
        </w:rPr>
        <w:t xml:space="preserve">, the </w:t>
      </w:r>
      <w:r w:rsidRPr="00CD5D14">
        <w:rPr>
          <w:rFonts w:cs="Arial"/>
          <w:lang w:val="en-GB"/>
        </w:rPr>
        <w:t>single gap</w:t>
      </w:r>
      <w:r w:rsidR="00DA1E68" w:rsidRPr="00CD5D14">
        <w:rPr>
          <w:rFonts w:cs="Arial"/>
          <w:lang w:val="en-GB"/>
        </w:rPr>
        <w:t xml:space="preserve"> mechanism should be reused at least</w:t>
      </w:r>
      <w:r w:rsidRPr="00CD5D14">
        <w:rPr>
          <w:rFonts w:cs="Arial"/>
          <w:lang w:val="en-GB"/>
        </w:rPr>
        <w:t xml:space="preserve"> for the UE</w:t>
      </w:r>
      <w:r w:rsidR="00DA1E68" w:rsidRPr="00CD5D14">
        <w:rPr>
          <w:rFonts w:cs="Arial"/>
          <w:lang w:val="en-GB"/>
        </w:rPr>
        <w:t xml:space="preserve"> </w:t>
      </w:r>
      <w:r w:rsidR="004B55FC">
        <w:rPr>
          <w:rFonts w:cs="Arial"/>
          <w:lang w:val="en-GB"/>
        </w:rPr>
        <w:t xml:space="preserve">that </w:t>
      </w:r>
      <w:r w:rsidR="00556292">
        <w:rPr>
          <w:rFonts w:cs="Arial"/>
          <w:lang w:val="en-GB"/>
        </w:rPr>
        <w:t>shares</w:t>
      </w:r>
      <w:r w:rsidR="004B55FC">
        <w:rPr>
          <w:rFonts w:cs="Arial"/>
          <w:lang w:val="en-GB"/>
        </w:rPr>
        <w:t xml:space="preserve"> common RF resource b</w:t>
      </w:r>
      <w:r w:rsidR="00FA2B35">
        <w:rPr>
          <w:rFonts w:cs="Arial"/>
          <w:lang w:val="en-GB"/>
        </w:rPr>
        <w:t xml:space="preserve">etween LTE and NR. We believe </w:t>
      </w:r>
      <w:r w:rsidR="00556292">
        <w:rPr>
          <w:rFonts w:cs="Arial"/>
          <w:lang w:val="en-GB"/>
        </w:rPr>
        <w:t xml:space="preserve">that </w:t>
      </w:r>
      <w:r w:rsidR="00FA2B35">
        <w:rPr>
          <w:rFonts w:cs="Arial"/>
          <w:lang w:val="en-GB"/>
        </w:rPr>
        <w:t xml:space="preserve">this is also the consensus on </w:t>
      </w:r>
      <w:r w:rsidR="00FF006F">
        <w:rPr>
          <w:rFonts w:cs="Arial"/>
          <w:lang w:val="en-GB"/>
        </w:rPr>
        <w:t xml:space="preserve">the </w:t>
      </w:r>
      <w:r w:rsidR="00FA2B35">
        <w:rPr>
          <w:rFonts w:cs="Arial"/>
          <w:lang w:val="en-GB"/>
        </w:rPr>
        <w:t xml:space="preserve">RAN4 LS [1]: </w:t>
      </w:r>
    </w:p>
    <w:p w14:paraId="0B8050BB" w14:textId="77777777" w:rsidR="007D03DD" w:rsidRDefault="007D03DD" w:rsidP="007D03DD">
      <w:pPr>
        <w:pStyle w:val="ListParagraph"/>
        <w:numPr>
          <w:ilvl w:val="0"/>
          <w:numId w:val="24"/>
        </w:numPr>
        <w:rPr>
          <w:rFonts w:ascii="Arial" w:eastAsia="SimSun" w:hAnsi="Arial" w:cs="Arial"/>
          <w:sz w:val="20"/>
          <w:szCs w:val="20"/>
          <w:lang w:val="en-US" w:eastAsia="zh-CN"/>
        </w:rPr>
      </w:pPr>
      <w:r w:rsidRPr="00CD5D14">
        <w:rPr>
          <w:rFonts w:ascii="Arial" w:eastAsia="SimSun" w:hAnsi="Arial" w:cs="Arial"/>
          <w:sz w:val="20"/>
          <w:szCs w:val="20"/>
          <w:lang w:val="en-US" w:eastAsia="zh-CN"/>
        </w:rPr>
        <w:t xml:space="preserve">For monitoring of multiple frequency layers with gaps, RAN4 view is some UE may need per UE gaps to measure in either LTE and/or FR1 and/or FR2 while other UE may be able to measure with independent and potentially different gap patterns (including no gap pattern) for LTE/FR1 and FR2 serving cells (including different MGRP, MGL and offset). </w:t>
      </w:r>
    </w:p>
    <w:p w14:paraId="717420E3" w14:textId="07336B43" w:rsidR="004B55FC" w:rsidRPr="004B55FC" w:rsidRDefault="004B55FC" w:rsidP="004B55FC">
      <w:pPr>
        <w:pStyle w:val="ListParagraph"/>
        <w:numPr>
          <w:ilvl w:val="0"/>
          <w:numId w:val="24"/>
        </w:numPr>
        <w:rPr>
          <w:rFonts w:ascii="Arial" w:eastAsia="SimSun" w:hAnsi="Arial" w:cs="Arial"/>
          <w:sz w:val="20"/>
          <w:szCs w:val="20"/>
          <w:lang w:val="en-US" w:eastAsia="zh-CN"/>
        </w:rPr>
      </w:pPr>
      <w:r w:rsidRPr="004B55FC">
        <w:rPr>
          <w:rFonts w:ascii="Arial" w:eastAsia="SimSun" w:hAnsi="Arial" w:cs="Arial"/>
          <w:sz w:val="20"/>
          <w:szCs w:val="20"/>
          <w:lang w:val="en-US" w:eastAsia="zh-CN"/>
        </w:rPr>
        <w:t xml:space="preserve">From RAN4 perspective, a capability to indicate whether a UE can support two independent measurement gap configurations for FR1 and FR2 is recommended. RAN4 will work on specifications for independent gap measurement configuration on a best effort basis. </w:t>
      </w:r>
    </w:p>
    <w:p w14:paraId="058E7EAC" w14:textId="77777777" w:rsidR="007D03DD" w:rsidRPr="00CD5D14" w:rsidRDefault="007D03DD" w:rsidP="00D61906">
      <w:pPr>
        <w:pStyle w:val="Doc-text2"/>
        <w:tabs>
          <w:tab w:val="left" w:pos="340"/>
        </w:tabs>
        <w:ind w:left="0" w:firstLine="0"/>
        <w:jc w:val="both"/>
        <w:rPr>
          <w:rFonts w:cs="Arial"/>
        </w:rPr>
      </w:pPr>
    </w:p>
    <w:p w14:paraId="009EAF83" w14:textId="2A6D93A7" w:rsidR="007D03DD" w:rsidRPr="00565420" w:rsidRDefault="00521294" w:rsidP="00D61906">
      <w:pPr>
        <w:pStyle w:val="Doc-text2"/>
        <w:tabs>
          <w:tab w:val="left" w:pos="340"/>
        </w:tabs>
        <w:ind w:left="0" w:firstLine="0"/>
        <w:jc w:val="both"/>
        <w:rPr>
          <w:rFonts w:cs="Arial"/>
        </w:rPr>
      </w:pPr>
      <w:r>
        <w:t>The definition of FR1 and FR2 could be found in RAN4 e</w:t>
      </w:r>
      <w:r w:rsidRPr="00953488">
        <w:t xml:space="preserve">mail-approved TP </w:t>
      </w:r>
      <w:r>
        <w:t xml:space="preserve">[3]. </w:t>
      </w:r>
      <w:r w:rsidR="00FF006F">
        <w:rPr>
          <w:rFonts w:cs="Arial"/>
        </w:rPr>
        <w:t>Based on the suggestion from RAN4 LS</w:t>
      </w:r>
      <w:r w:rsidR="005019FA">
        <w:rPr>
          <w:rFonts w:cs="Arial"/>
        </w:rPr>
        <w:t xml:space="preserve">, we think that a capability to indicate whether UE support </w:t>
      </w:r>
      <w:r w:rsidR="00565420" w:rsidRPr="00565420">
        <w:rPr>
          <w:rFonts w:cs="Arial"/>
        </w:rPr>
        <w:t>two independent measurement gap configurations for FR1 and FR2</w:t>
      </w:r>
      <w:r w:rsidR="00565420">
        <w:rPr>
          <w:rFonts w:cs="Arial"/>
        </w:rPr>
        <w:t xml:space="preserve"> should be introduced. </w:t>
      </w:r>
    </w:p>
    <w:p w14:paraId="26B6EA63" w14:textId="77777777" w:rsidR="00B94288" w:rsidRPr="00565420" w:rsidRDefault="00B94288" w:rsidP="00D61906">
      <w:pPr>
        <w:pStyle w:val="Doc-text2"/>
        <w:tabs>
          <w:tab w:val="left" w:pos="340"/>
        </w:tabs>
        <w:ind w:left="0" w:firstLine="0"/>
        <w:jc w:val="both"/>
      </w:pPr>
    </w:p>
    <w:p w14:paraId="53B8F601" w14:textId="36FA6EC3" w:rsidR="001E63E8" w:rsidRDefault="001E63E8" w:rsidP="001E63E8">
      <w:pPr>
        <w:pStyle w:val="Doc-text2"/>
        <w:tabs>
          <w:tab w:val="left" w:pos="340"/>
        </w:tabs>
        <w:ind w:left="0" w:firstLine="0"/>
        <w:jc w:val="both"/>
        <w:rPr>
          <w:b/>
          <w:lang w:val="en-GB"/>
        </w:rPr>
      </w:pPr>
      <w:r w:rsidRPr="00B9627E">
        <w:rPr>
          <w:b/>
        </w:rPr>
        <w:t>Proposal</w:t>
      </w:r>
      <w:r>
        <w:rPr>
          <w:b/>
        </w:rPr>
        <w:t xml:space="preserve"> 1: </w:t>
      </w:r>
      <w:r w:rsidR="00F1239D">
        <w:rPr>
          <w:b/>
          <w:lang w:val="en-GB"/>
        </w:rPr>
        <w:t>I</w:t>
      </w:r>
      <w:r w:rsidR="00565420">
        <w:rPr>
          <w:b/>
          <w:lang w:val="en-GB"/>
        </w:rPr>
        <w:t xml:space="preserve">ntroduce a capability bit to signal </w:t>
      </w:r>
      <w:r w:rsidR="00565420" w:rsidRPr="00565420">
        <w:rPr>
          <w:b/>
          <w:lang w:val="en-GB"/>
        </w:rPr>
        <w:t>whether UE support two independent measurement gap configurations for FR1 and FR2</w:t>
      </w:r>
      <w:r w:rsidR="00565420">
        <w:rPr>
          <w:b/>
          <w:lang w:val="en-GB"/>
        </w:rPr>
        <w:t xml:space="preserve">. </w:t>
      </w:r>
    </w:p>
    <w:p w14:paraId="36DB0DBD" w14:textId="77777777" w:rsidR="009011BD" w:rsidRDefault="009011BD" w:rsidP="001E63E8">
      <w:pPr>
        <w:pStyle w:val="Doc-text2"/>
        <w:tabs>
          <w:tab w:val="left" w:pos="340"/>
        </w:tabs>
        <w:ind w:left="0" w:firstLine="0"/>
        <w:jc w:val="both"/>
        <w:rPr>
          <w:b/>
          <w:lang w:val="en-GB"/>
        </w:rPr>
      </w:pPr>
    </w:p>
    <w:p w14:paraId="5BA4FE9F" w14:textId="75E8FDFA" w:rsidR="009011BD" w:rsidRPr="00506A6F" w:rsidRDefault="009011BD" w:rsidP="00506A6F">
      <w:pPr>
        <w:pStyle w:val="Doc-text2"/>
        <w:tabs>
          <w:tab w:val="left" w:pos="340"/>
        </w:tabs>
        <w:ind w:left="0" w:firstLine="0"/>
        <w:jc w:val="both"/>
        <w:rPr>
          <w:lang w:val="en-GB"/>
        </w:rPr>
      </w:pPr>
      <w:r w:rsidRPr="009011BD">
        <w:rPr>
          <w:lang w:val="en-GB"/>
        </w:rPr>
        <w:t xml:space="preserve">In the </w:t>
      </w:r>
      <w:r>
        <w:rPr>
          <w:lang w:val="en-GB"/>
        </w:rPr>
        <w:t>LS from RAN4, serving cells are divided into the following two group.</w:t>
      </w:r>
    </w:p>
    <w:p w14:paraId="7EDC0D13" w14:textId="0B78FC8C" w:rsidR="00506A6F" w:rsidRPr="00506A6F" w:rsidRDefault="00506A6F" w:rsidP="00506A6F">
      <w:pPr>
        <w:pStyle w:val="Doc-text2"/>
        <w:numPr>
          <w:ilvl w:val="0"/>
          <w:numId w:val="25"/>
        </w:numPr>
        <w:tabs>
          <w:tab w:val="left" w:pos="340"/>
        </w:tabs>
        <w:jc w:val="both"/>
      </w:pPr>
      <w:r w:rsidRPr="00506A6F">
        <w:t>Frequency range 1 (FR1) : 450MHz -- 6000MHz (sub-6GHz)</w:t>
      </w:r>
    </w:p>
    <w:p w14:paraId="41C4F40F" w14:textId="5AEE8ED8" w:rsidR="002866BD" w:rsidRDefault="00506A6F" w:rsidP="00506A6F">
      <w:pPr>
        <w:pStyle w:val="Doc-text2"/>
        <w:numPr>
          <w:ilvl w:val="0"/>
          <w:numId w:val="25"/>
        </w:numPr>
        <w:tabs>
          <w:tab w:val="left" w:pos="340"/>
        </w:tabs>
        <w:jc w:val="both"/>
      </w:pPr>
      <w:r w:rsidRPr="00506A6F">
        <w:rPr>
          <w:lang w:val="en-GB"/>
        </w:rPr>
        <w:t>Frequency range 2 (FR2) : 24250MHz -- 52600MHz (mmWave)</w:t>
      </w:r>
    </w:p>
    <w:p w14:paraId="06645217" w14:textId="77777777" w:rsidR="00506A6F" w:rsidRDefault="00506A6F" w:rsidP="001E63E8">
      <w:pPr>
        <w:pStyle w:val="Doc-text2"/>
        <w:tabs>
          <w:tab w:val="left" w:pos="340"/>
        </w:tabs>
        <w:ind w:left="0" w:firstLine="0"/>
        <w:jc w:val="both"/>
        <w:rPr>
          <w:b/>
        </w:rPr>
      </w:pPr>
    </w:p>
    <w:p w14:paraId="68A01BC8" w14:textId="48C641AA" w:rsidR="00CA2F11" w:rsidRPr="00CA2F11" w:rsidRDefault="00D5749C" w:rsidP="001E63E8">
      <w:pPr>
        <w:pStyle w:val="Doc-text2"/>
        <w:tabs>
          <w:tab w:val="left" w:pos="340"/>
        </w:tabs>
        <w:ind w:left="0" w:firstLine="0"/>
        <w:jc w:val="both"/>
      </w:pPr>
      <w:r>
        <w:t xml:space="preserve">LTE cells are belong to FR1 while NR cells could belong to FR1 or FR2. For the UE does not support </w:t>
      </w:r>
      <w:r w:rsidRPr="00D5749C">
        <w:t>independent gap</w:t>
      </w:r>
      <w:r>
        <w:t>, it is intuitive to follow the same LTE-DC principle for measurement gap design. From the RAN4 LS, the UE with only FR1 serving cells shou</w:t>
      </w:r>
      <w:bookmarkStart w:id="3" w:name="_GoBack"/>
      <w:bookmarkEnd w:id="3"/>
      <w:r>
        <w:t>ld also apply the single gap principle.</w:t>
      </w:r>
      <w:r w:rsidR="00701BF5" w:rsidRPr="00701BF5">
        <w:t xml:space="preserve"> </w:t>
      </w:r>
      <w:r w:rsidR="00701BF5">
        <w:t xml:space="preserve">Figure 1 illustrates the single measurement gap principle in EN-DC while MGRP = 40ms, MGL=6ms, and gapOffset is 2ms. </w:t>
      </w:r>
      <w:r w:rsidR="008D487B">
        <w:t>We think that</w:t>
      </w:r>
      <w:r w:rsidR="00692FF1">
        <w:t xml:space="preserve"> LTE RRC </w:t>
      </w:r>
      <w:r w:rsidR="008D487B">
        <w:t>signalling</w:t>
      </w:r>
      <w:r w:rsidR="00692FF1">
        <w:t xml:space="preserve"> (i.e.</w:t>
      </w:r>
      <w:r w:rsidR="00613F3C">
        <w:t xml:space="preserve"> IE</w:t>
      </w:r>
      <w:r w:rsidR="00692FF1">
        <w:t xml:space="preserve"> </w:t>
      </w:r>
      <w:r w:rsidR="00613F3C" w:rsidRPr="00613F3C">
        <w:rPr>
          <w:i/>
          <w:iCs/>
          <w:lang w:val="en-GB"/>
        </w:rPr>
        <w:t>MeasGapConfig</w:t>
      </w:r>
      <w:r w:rsidR="00692FF1">
        <w:t xml:space="preserve">) </w:t>
      </w:r>
      <w:r w:rsidR="00613F3C">
        <w:t xml:space="preserve">should be reused for EN-DC single gap </w:t>
      </w:r>
      <w:r w:rsidR="008D487B">
        <w:t>configuration</w:t>
      </w:r>
      <w:r w:rsidR="00613F3C">
        <w:t xml:space="preserve">. </w:t>
      </w:r>
      <w:r w:rsidR="00CD5BB5">
        <w:t xml:space="preserve">There may </w:t>
      </w:r>
      <w:r w:rsidR="00FC4CB2">
        <w:t>be</w:t>
      </w:r>
      <w:r w:rsidR="00CD5BB5">
        <w:t xml:space="preserve"> some update on LTE Measurement gap pattern due</w:t>
      </w:r>
      <w:r w:rsidR="00556292">
        <w:t xml:space="preserve"> to the introduction of NR cell measurement [</w:t>
      </w:r>
      <w:r w:rsidR="00521294">
        <w:t>4</w:t>
      </w:r>
      <w:r w:rsidR="00556292">
        <w:t xml:space="preserve">], but the configuration could apply to all LTE and NR serving cells in </w:t>
      </w:r>
      <w:r w:rsidR="00FC4CB2">
        <w:t>EN-DC</w:t>
      </w:r>
      <w:r w:rsidR="00556292">
        <w:t>.</w:t>
      </w:r>
      <w:r w:rsidR="00FC4CB2">
        <w:t xml:space="preserve"> </w:t>
      </w:r>
      <w:r w:rsidR="00701BF5">
        <w:t>Therefore, we propose to extend the LTE-DC single measurement gap configuration principle to EN-DC.</w:t>
      </w:r>
    </w:p>
    <w:p w14:paraId="51ADEFFB" w14:textId="77777777" w:rsidR="00506A6F" w:rsidRDefault="00506A6F" w:rsidP="001E63E8">
      <w:pPr>
        <w:pStyle w:val="Doc-text2"/>
        <w:tabs>
          <w:tab w:val="left" w:pos="340"/>
        </w:tabs>
        <w:ind w:left="0" w:firstLine="0"/>
        <w:jc w:val="both"/>
        <w:rPr>
          <w:b/>
        </w:rPr>
      </w:pPr>
    </w:p>
    <w:p w14:paraId="179CAE40" w14:textId="617DE382" w:rsidR="00556292" w:rsidRDefault="00556292" w:rsidP="00556292">
      <w:pPr>
        <w:pStyle w:val="Doc-text2"/>
        <w:tabs>
          <w:tab w:val="left" w:pos="340"/>
        </w:tabs>
        <w:ind w:left="0" w:firstLine="0"/>
        <w:jc w:val="both"/>
        <w:rPr>
          <w:b/>
        </w:rPr>
      </w:pPr>
      <w:r w:rsidRPr="00B9627E">
        <w:rPr>
          <w:b/>
        </w:rPr>
        <w:t>Proposal</w:t>
      </w:r>
      <w:r>
        <w:rPr>
          <w:b/>
        </w:rPr>
        <w:t xml:space="preserve"> 2: In EN-DC, for UE does not support </w:t>
      </w:r>
      <w:r w:rsidRPr="00565420">
        <w:rPr>
          <w:b/>
          <w:lang w:val="en-GB"/>
        </w:rPr>
        <w:t>independent</w:t>
      </w:r>
      <w:r>
        <w:rPr>
          <w:b/>
          <w:lang w:val="en-GB"/>
        </w:rPr>
        <w:t xml:space="preserve"> gap or UE has only serving cells in FR1, t</w:t>
      </w:r>
      <w:r w:rsidRPr="00D5749C">
        <w:rPr>
          <w:b/>
          <w:lang w:val="en-GB"/>
        </w:rPr>
        <w:t>he UE applies a single gap, which timi</w:t>
      </w:r>
      <w:r>
        <w:rPr>
          <w:b/>
          <w:lang w:val="en-GB"/>
        </w:rPr>
        <w:t xml:space="preserve">ng is relative to the MCG cells. </w:t>
      </w:r>
      <w:r w:rsidR="00071782">
        <w:rPr>
          <w:b/>
          <w:lang w:val="en-GB"/>
        </w:rPr>
        <w:t>The measurement gap is signalled</w:t>
      </w:r>
      <w:r>
        <w:rPr>
          <w:b/>
          <w:lang w:val="en-GB"/>
        </w:rPr>
        <w:t xml:space="preserve"> by the gap configuration IE in LTE RRC.</w:t>
      </w:r>
    </w:p>
    <w:p w14:paraId="087332E9" w14:textId="77777777" w:rsidR="00692FF1" w:rsidRDefault="00692FF1" w:rsidP="001E63E8">
      <w:pPr>
        <w:pStyle w:val="Doc-text2"/>
        <w:tabs>
          <w:tab w:val="left" w:pos="340"/>
        </w:tabs>
        <w:ind w:left="0" w:firstLine="0"/>
        <w:jc w:val="both"/>
        <w:rPr>
          <w:b/>
        </w:rPr>
      </w:pPr>
    </w:p>
    <w:p w14:paraId="4674CAD1" w14:textId="23BA4BE0" w:rsidR="00692FF1" w:rsidRDefault="00692FF1" w:rsidP="00692FF1">
      <w:pPr>
        <w:pStyle w:val="Doc-text2"/>
        <w:tabs>
          <w:tab w:val="left" w:pos="340"/>
        </w:tabs>
        <w:ind w:left="0" w:firstLine="0"/>
        <w:jc w:val="center"/>
        <w:rPr>
          <w:b/>
        </w:rPr>
      </w:pPr>
      <w:r w:rsidRPr="00692FF1">
        <w:rPr>
          <w:noProof/>
        </w:rPr>
        <w:lastRenderedPageBreak/>
        <w:drawing>
          <wp:inline distT="0" distB="0" distL="0" distR="0" wp14:anchorId="3CFDA246" wp14:editId="1BC42CA1">
            <wp:extent cx="5343525" cy="22712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56719" cy="2276874"/>
                    </a:xfrm>
                    <a:prstGeom prst="rect">
                      <a:avLst/>
                    </a:prstGeom>
                  </pic:spPr>
                </pic:pic>
              </a:graphicData>
            </a:graphic>
          </wp:inline>
        </w:drawing>
      </w:r>
    </w:p>
    <w:p w14:paraId="4FF0E073" w14:textId="2FAF4700" w:rsidR="00692FF1" w:rsidRPr="00692FF1" w:rsidRDefault="00692FF1" w:rsidP="00692FF1">
      <w:pPr>
        <w:pStyle w:val="Doc-text2"/>
        <w:tabs>
          <w:tab w:val="left" w:pos="340"/>
        </w:tabs>
        <w:ind w:left="0" w:firstLine="0"/>
        <w:jc w:val="center"/>
      </w:pPr>
      <w:r>
        <w:t>Figure 1</w:t>
      </w:r>
      <w:r w:rsidRPr="00692FF1">
        <w:t>:</w:t>
      </w:r>
      <w:r>
        <w:t xml:space="preserve"> Single measurement gap in EN-DC</w:t>
      </w:r>
      <w:r w:rsidRPr="00692FF1">
        <w:t xml:space="preserve"> </w:t>
      </w:r>
    </w:p>
    <w:p w14:paraId="2D3F2507" w14:textId="77777777" w:rsidR="001E63E8" w:rsidRDefault="001E63E8" w:rsidP="0046131B">
      <w:pPr>
        <w:pStyle w:val="Doc-text2"/>
        <w:tabs>
          <w:tab w:val="left" w:pos="340"/>
        </w:tabs>
        <w:ind w:left="0" w:firstLine="0"/>
        <w:jc w:val="both"/>
      </w:pPr>
    </w:p>
    <w:p w14:paraId="06627AEE" w14:textId="4B3BEC19" w:rsidR="00907B09" w:rsidRDefault="00907B09" w:rsidP="0046131B">
      <w:pPr>
        <w:pStyle w:val="Doc-text2"/>
        <w:tabs>
          <w:tab w:val="left" w:pos="340"/>
        </w:tabs>
        <w:ind w:left="0" w:firstLine="0"/>
        <w:jc w:val="both"/>
      </w:pPr>
      <w:r>
        <w:t xml:space="preserve">For the UE support independent gap on FR1 and FR2, </w:t>
      </w:r>
      <w:r w:rsidR="00250468">
        <w:t xml:space="preserve">different </w:t>
      </w:r>
      <w:r w:rsidR="00250468" w:rsidRPr="00250468">
        <w:t>gap patterns (in</w:t>
      </w:r>
      <w:r w:rsidR="00250468">
        <w:t xml:space="preserve">cluding no gap pattern) for </w:t>
      </w:r>
      <w:r w:rsidR="00250468" w:rsidRPr="00250468">
        <w:t xml:space="preserve">FR1 and FR2 serving cells </w:t>
      </w:r>
      <w:r w:rsidR="00250468">
        <w:t xml:space="preserve">could be configured. </w:t>
      </w:r>
      <w:r>
        <w:t xml:space="preserve">Figure 2 illustrates the independent measurement gap </w:t>
      </w:r>
      <w:r w:rsidR="00250468">
        <w:t>concept</w:t>
      </w:r>
      <w:r w:rsidR="00B41F4E">
        <w:t xml:space="preserve"> in EN-DC while</w:t>
      </w:r>
      <w:r w:rsidR="00250468">
        <w:t xml:space="preserve"> </w:t>
      </w:r>
      <w:r w:rsidR="00B41F4E">
        <w:t xml:space="preserve">different </w:t>
      </w:r>
      <w:r w:rsidR="00250468">
        <w:t xml:space="preserve">gap configuration </w:t>
      </w:r>
      <w:r w:rsidR="00B41F4E">
        <w:t xml:space="preserve">in </w:t>
      </w:r>
      <w:r>
        <w:t xml:space="preserve">FR1 </w:t>
      </w:r>
      <w:r w:rsidR="00250468">
        <w:t>(</w:t>
      </w:r>
      <w:r>
        <w:t xml:space="preserve">MGRP = 40ms, MGL=6ms, </w:t>
      </w:r>
      <w:r w:rsidR="00250468" w:rsidRPr="00250468">
        <w:t>offset</w:t>
      </w:r>
      <w:r w:rsidR="00250468">
        <w:t xml:space="preserve"> </w:t>
      </w:r>
      <w:r>
        <w:t>= 2ms</w:t>
      </w:r>
      <w:r w:rsidR="00250468">
        <w:t>)</w:t>
      </w:r>
      <w:r>
        <w:t xml:space="preserve"> and FR2 (</w:t>
      </w:r>
      <w:r w:rsidR="00B41F4E">
        <w:t xml:space="preserve">MGRP = 20ms, MGL=4ms, </w:t>
      </w:r>
      <w:r w:rsidR="00B41F4E" w:rsidRPr="00250468">
        <w:t>offset</w:t>
      </w:r>
      <w:r w:rsidR="00B41F4E">
        <w:t xml:space="preserve"> = 12ms</w:t>
      </w:r>
      <w:r>
        <w:t xml:space="preserve">) are applied. </w:t>
      </w:r>
      <w:r w:rsidR="008C0955">
        <w:t>Note that exact</w:t>
      </w:r>
      <w:r w:rsidR="00B41F4E">
        <w:t xml:space="preserve"> value for the MGL in FR2 is still under </w:t>
      </w:r>
      <w:r w:rsidR="003C1DED">
        <w:t>discussion</w:t>
      </w:r>
      <w:r w:rsidR="00B41F4E">
        <w:t xml:space="preserve"> by RAN4, and 4ms is just an example. </w:t>
      </w:r>
      <w:r w:rsidR="00655ABB">
        <w:t xml:space="preserve">In this case, we propose that the serving cells in FR1 follow the same gap configuration as in single gap (i.e. </w:t>
      </w:r>
      <w:r w:rsidR="00071782">
        <w:t xml:space="preserve">be </w:t>
      </w:r>
      <w:r w:rsidR="00071782" w:rsidRPr="00071782">
        <w:rPr>
          <w:lang w:val="en-GB"/>
        </w:rPr>
        <w:t>signalled</w:t>
      </w:r>
      <w:r w:rsidR="00071782">
        <w:rPr>
          <w:b/>
          <w:lang w:val="en-GB"/>
        </w:rPr>
        <w:t xml:space="preserve"> </w:t>
      </w:r>
      <w:r w:rsidR="00655ABB">
        <w:t xml:space="preserve">by LTE RRC </w:t>
      </w:r>
      <w:r w:rsidR="00655ABB" w:rsidRPr="00613F3C">
        <w:rPr>
          <w:i/>
          <w:iCs/>
          <w:lang w:val="en-GB"/>
        </w:rPr>
        <w:t>MeasGapConfig</w:t>
      </w:r>
      <w:r w:rsidR="00655ABB">
        <w:t xml:space="preserve">). The measurement gap pattern of the serving cells in FR2 could be configured by NR RRC Signalling and specified in 38.331. </w:t>
      </w:r>
    </w:p>
    <w:p w14:paraId="6B1018C3" w14:textId="77777777" w:rsidR="00701BF5" w:rsidRDefault="00701BF5" w:rsidP="0046131B">
      <w:pPr>
        <w:pStyle w:val="Doc-text2"/>
        <w:tabs>
          <w:tab w:val="left" w:pos="340"/>
        </w:tabs>
        <w:ind w:left="0" w:firstLine="0"/>
        <w:jc w:val="both"/>
      </w:pPr>
    </w:p>
    <w:p w14:paraId="2CBCA49C" w14:textId="2D891BA2" w:rsidR="00701BF5" w:rsidRPr="003C1DED" w:rsidRDefault="00701BF5" w:rsidP="0046131B">
      <w:pPr>
        <w:pStyle w:val="Doc-text2"/>
        <w:tabs>
          <w:tab w:val="left" w:pos="340"/>
        </w:tabs>
        <w:ind w:left="0" w:firstLine="0"/>
        <w:jc w:val="both"/>
        <w:rPr>
          <w:b/>
        </w:rPr>
      </w:pPr>
      <w:r w:rsidRPr="00B9627E">
        <w:rPr>
          <w:b/>
        </w:rPr>
        <w:t>Proposal</w:t>
      </w:r>
      <w:r>
        <w:rPr>
          <w:b/>
        </w:rPr>
        <w:t xml:space="preserve"> 3: In EN-DC, for a UE supports </w:t>
      </w:r>
      <w:r w:rsidRPr="00565420">
        <w:rPr>
          <w:b/>
          <w:lang w:val="en-GB"/>
        </w:rPr>
        <w:t>independent</w:t>
      </w:r>
      <w:r>
        <w:rPr>
          <w:b/>
          <w:lang w:val="en-GB"/>
        </w:rPr>
        <w:t xml:space="preserve"> gap and the UE has serving cell(s) in FR2, the serving cell(s) in FR1 follow measurement gap pattern configured by LTE RRC while the serving cell(s) in FR2 follow the measurement gap pattern configured by NR RRC.</w:t>
      </w:r>
    </w:p>
    <w:p w14:paraId="606CA7AB" w14:textId="77777777" w:rsidR="00D5749C" w:rsidRDefault="00D5749C" w:rsidP="0046131B">
      <w:pPr>
        <w:pStyle w:val="Doc-text2"/>
        <w:tabs>
          <w:tab w:val="left" w:pos="340"/>
        </w:tabs>
        <w:ind w:left="0" w:firstLine="0"/>
        <w:jc w:val="both"/>
      </w:pPr>
    </w:p>
    <w:p w14:paraId="724387FD" w14:textId="39DE11EA" w:rsidR="00692FF1" w:rsidRDefault="00692FF1" w:rsidP="00692FF1">
      <w:pPr>
        <w:pStyle w:val="Doc-text2"/>
        <w:tabs>
          <w:tab w:val="left" w:pos="340"/>
        </w:tabs>
        <w:ind w:left="0" w:firstLine="0"/>
        <w:jc w:val="center"/>
      </w:pPr>
      <w:r w:rsidRPr="00692FF1">
        <w:rPr>
          <w:noProof/>
        </w:rPr>
        <w:drawing>
          <wp:inline distT="0" distB="0" distL="0" distR="0" wp14:anchorId="1762177A" wp14:editId="776E0D3C">
            <wp:extent cx="5313045" cy="2263387"/>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20919" cy="2266741"/>
                    </a:xfrm>
                    <a:prstGeom prst="rect">
                      <a:avLst/>
                    </a:prstGeom>
                  </pic:spPr>
                </pic:pic>
              </a:graphicData>
            </a:graphic>
          </wp:inline>
        </w:drawing>
      </w:r>
    </w:p>
    <w:p w14:paraId="23C4EF92" w14:textId="32F93CA6" w:rsidR="00692FF1" w:rsidRDefault="00692FF1" w:rsidP="00692FF1">
      <w:pPr>
        <w:pStyle w:val="Doc-text2"/>
        <w:tabs>
          <w:tab w:val="left" w:pos="340"/>
        </w:tabs>
        <w:ind w:left="0" w:firstLine="0"/>
        <w:jc w:val="center"/>
      </w:pPr>
      <w:r>
        <w:t>Figure 2</w:t>
      </w:r>
      <w:r w:rsidRPr="00692FF1">
        <w:t>:</w:t>
      </w:r>
      <w:r>
        <w:t xml:space="preserve"> Independent measurement gap in EN-DC</w:t>
      </w:r>
      <w:r w:rsidRPr="00692FF1">
        <w:t xml:space="preserve"> </w:t>
      </w:r>
    </w:p>
    <w:p w14:paraId="649EFAFC" w14:textId="77777777" w:rsidR="00692FF1" w:rsidRDefault="00692FF1"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C4A9C38" w14:textId="77777777" w:rsidR="00400BDC" w:rsidRDefault="00400BDC" w:rsidP="00EF22C6">
      <w:pPr>
        <w:pStyle w:val="Doc-text2"/>
        <w:tabs>
          <w:tab w:val="left" w:pos="340"/>
        </w:tabs>
        <w:ind w:left="0" w:firstLine="0"/>
        <w:jc w:val="both"/>
        <w:rPr>
          <w:b/>
          <w:lang w:val="en-GB"/>
        </w:rPr>
      </w:pPr>
    </w:p>
    <w:p w14:paraId="712213CA" w14:textId="57EF0770" w:rsidR="008F0233" w:rsidRDefault="008F0233" w:rsidP="008F0233">
      <w:pPr>
        <w:pStyle w:val="Doc-text2"/>
        <w:tabs>
          <w:tab w:val="left" w:pos="340"/>
        </w:tabs>
        <w:ind w:left="0" w:firstLine="0"/>
        <w:jc w:val="both"/>
        <w:rPr>
          <w:b/>
          <w:lang w:val="en-GB"/>
        </w:rPr>
      </w:pPr>
      <w:r w:rsidRPr="00B9627E">
        <w:rPr>
          <w:b/>
        </w:rPr>
        <w:t>Proposal</w:t>
      </w:r>
      <w:r w:rsidR="00F1239D">
        <w:rPr>
          <w:b/>
        </w:rPr>
        <w:t xml:space="preserve"> 1: Introduce</w:t>
      </w:r>
      <w:r>
        <w:rPr>
          <w:b/>
          <w:lang w:val="en-GB"/>
        </w:rPr>
        <w:t xml:space="preserve"> a capability bit to signal </w:t>
      </w:r>
      <w:r w:rsidRPr="00565420">
        <w:rPr>
          <w:b/>
          <w:lang w:val="en-GB"/>
        </w:rPr>
        <w:t>whether UE support two independent measurement gap configurations for FR1 and FR2</w:t>
      </w:r>
      <w:r>
        <w:rPr>
          <w:b/>
          <w:lang w:val="en-GB"/>
        </w:rPr>
        <w:t xml:space="preserve">. </w:t>
      </w:r>
    </w:p>
    <w:p w14:paraId="435E2DB6" w14:textId="77777777" w:rsidR="008F0233" w:rsidRDefault="008F0233" w:rsidP="008F0233">
      <w:pPr>
        <w:pStyle w:val="Doc-text2"/>
        <w:tabs>
          <w:tab w:val="left" w:pos="340"/>
        </w:tabs>
        <w:ind w:left="0" w:firstLine="0"/>
        <w:jc w:val="both"/>
        <w:rPr>
          <w:b/>
          <w:lang w:val="en-GB"/>
        </w:rPr>
      </w:pPr>
    </w:p>
    <w:p w14:paraId="137CFE36" w14:textId="77777777" w:rsidR="008F0233" w:rsidRDefault="008F0233" w:rsidP="008F0233">
      <w:pPr>
        <w:pStyle w:val="Doc-text2"/>
        <w:tabs>
          <w:tab w:val="left" w:pos="340"/>
        </w:tabs>
        <w:ind w:left="0" w:firstLine="0"/>
        <w:jc w:val="both"/>
        <w:rPr>
          <w:b/>
        </w:rPr>
      </w:pPr>
      <w:r w:rsidRPr="00B9627E">
        <w:rPr>
          <w:b/>
        </w:rPr>
        <w:t>Proposal</w:t>
      </w:r>
      <w:r>
        <w:rPr>
          <w:b/>
        </w:rPr>
        <w:t xml:space="preserve"> 2: In EN-DC, for UE does not support </w:t>
      </w:r>
      <w:r w:rsidRPr="00565420">
        <w:rPr>
          <w:b/>
          <w:lang w:val="en-GB"/>
        </w:rPr>
        <w:t>independent</w:t>
      </w:r>
      <w:r>
        <w:rPr>
          <w:b/>
          <w:lang w:val="en-GB"/>
        </w:rPr>
        <w:t xml:space="preserve"> gap or UE has only serving cells in FR1, t</w:t>
      </w:r>
      <w:r w:rsidRPr="00D5749C">
        <w:rPr>
          <w:b/>
          <w:lang w:val="en-GB"/>
        </w:rPr>
        <w:t>he UE applies a single gap, which timi</w:t>
      </w:r>
      <w:r>
        <w:rPr>
          <w:b/>
          <w:lang w:val="en-GB"/>
        </w:rPr>
        <w:t>ng is relative to the MCG cells. The measurement gap is signalled by the gap configuration IE in LTE RRC.</w:t>
      </w:r>
    </w:p>
    <w:p w14:paraId="0F0C6661" w14:textId="77777777" w:rsidR="008F0233" w:rsidRPr="008F0233" w:rsidRDefault="008F0233" w:rsidP="008F0233">
      <w:pPr>
        <w:pStyle w:val="Doc-text2"/>
        <w:tabs>
          <w:tab w:val="left" w:pos="340"/>
        </w:tabs>
        <w:ind w:left="0" w:firstLine="0"/>
        <w:jc w:val="both"/>
        <w:rPr>
          <w:b/>
        </w:rPr>
      </w:pPr>
    </w:p>
    <w:p w14:paraId="1D80C1DE" w14:textId="77777777" w:rsidR="008F0233" w:rsidRPr="003C1DED" w:rsidRDefault="008F0233" w:rsidP="008F0233">
      <w:pPr>
        <w:pStyle w:val="Doc-text2"/>
        <w:tabs>
          <w:tab w:val="left" w:pos="340"/>
        </w:tabs>
        <w:ind w:left="0" w:firstLine="0"/>
        <w:jc w:val="both"/>
        <w:rPr>
          <w:b/>
        </w:rPr>
      </w:pPr>
      <w:r w:rsidRPr="00B9627E">
        <w:rPr>
          <w:b/>
        </w:rPr>
        <w:t>Proposal</w:t>
      </w:r>
      <w:r>
        <w:rPr>
          <w:b/>
        </w:rPr>
        <w:t xml:space="preserve"> 3: In EN-DC, for a UE supports </w:t>
      </w:r>
      <w:r w:rsidRPr="00565420">
        <w:rPr>
          <w:b/>
          <w:lang w:val="en-GB"/>
        </w:rPr>
        <w:t>independent</w:t>
      </w:r>
      <w:r>
        <w:rPr>
          <w:b/>
          <w:lang w:val="en-GB"/>
        </w:rPr>
        <w:t xml:space="preserve"> gap and the UE has serving cell(s) in FR2, the serving cell(s) in FR1 follow measurement gap pattern configured by LTE RRC while the serving cell(s) in FR2 follow the measurement gap pattern configured by NR RRC.</w:t>
      </w:r>
    </w:p>
    <w:p w14:paraId="69C040BF" w14:textId="77777777" w:rsidR="008F0233" w:rsidRDefault="008F0233" w:rsidP="008F0233">
      <w:pPr>
        <w:pStyle w:val="Doc-text2"/>
        <w:tabs>
          <w:tab w:val="left" w:pos="340"/>
        </w:tabs>
        <w:ind w:left="0" w:firstLine="0"/>
        <w:jc w:val="both"/>
        <w:rPr>
          <w:b/>
        </w:rPr>
      </w:pPr>
    </w:p>
    <w:p w14:paraId="0F80D15B" w14:textId="77777777" w:rsidR="008F0233" w:rsidRDefault="008F0233" w:rsidP="008F0233">
      <w:pPr>
        <w:pStyle w:val="Doc-text2"/>
        <w:tabs>
          <w:tab w:val="left" w:pos="340"/>
        </w:tabs>
        <w:ind w:left="0" w:firstLine="0"/>
        <w:jc w:val="both"/>
        <w:rPr>
          <w:b/>
          <w:lang w:val="en-GB"/>
        </w:rPr>
      </w:pPr>
    </w:p>
    <w:p w14:paraId="330A4C0A" w14:textId="6170D0A3" w:rsidR="00EF622C" w:rsidRDefault="006214DC" w:rsidP="00F54927">
      <w:pPr>
        <w:pStyle w:val="Heading1"/>
        <w:pBdr>
          <w:top w:val="single" w:sz="12" w:space="0" w:color="auto"/>
        </w:pBdr>
        <w:rPr>
          <w:lang w:val="en-US" w:eastAsia="ko-KR"/>
        </w:rPr>
      </w:pPr>
      <w:r>
        <w:rPr>
          <w:lang w:val="en-US" w:eastAsia="ko-KR"/>
        </w:rPr>
        <w:lastRenderedPageBreak/>
        <w:t>4</w:t>
      </w:r>
      <w:r w:rsidR="00EF622C">
        <w:rPr>
          <w:lang w:val="en-US" w:eastAsia="ko-KR"/>
        </w:rPr>
        <w:t xml:space="preserve"> References</w:t>
      </w:r>
    </w:p>
    <w:p w14:paraId="0B2CB1AF" w14:textId="6E460807" w:rsidR="00B01312" w:rsidRDefault="00217ED3" w:rsidP="00D11264">
      <w:pPr>
        <w:spacing w:after="60"/>
        <w:rPr>
          <w:rFonts w:ascii="Arial" w:hAnsi="Arial" w:cs="Arial"/>
          <w:lang w:eastAsia="ko-KR"/>
        </w:rPr>
      </w:pPr>
      <w:r>
        <w:rPr>
          <w:rFonts w:ascii="Arial" w:hAnsi="Arial" w:cs="Arial"/>
          <w:lang w:val="en-US" w:eastAsia="ko-KR"/>
        </w:rPr>
        <w:t>[</w:t>
      </w:r>
      <w:r>
        <w:rPr>
          <w:rFonts w:ascii="Arial" w:hAnsi="Arial" w:cs="Arial"/>
          <w:lang w:eastAsia="ko-KR"/>
        </w:rPr>
        <w:t>1</w:t>
      </w:r>
      <w:r w:rsidR="00A979AD">
        <w:rPr>
          <w:rFonts w:ascii="Arial" w:hAnsi="Arial" w:cs="Arial"/>
          <w:lang w:eastAsia="ko-KR"/>
        </w:rPr>
        <w:t>]</w:t>
      </w:r>
      <w:r w:rsidR="00D872C4">
        <w:rPr>
          <w:rFonts w:ascii="Arial" w:hAnsi="Arial" w:cs="Arial"/>
          <w:lang w:eastAsia="ko-KR"/>
        </w:rPr>
        <w:t xml:space="preserve"> </w:t>
      </w:r>
      <w:r w:rsidR="0047582E">
        <w:rPr>
          <w:rFonts w:ascii="Arial" w:hAnsi="Arial" w:cs="Arial"/>
          <w:lang w:eastAsia="ko-KR"/>
        </w:rPr>
        <w:t>R2-1712143/R4-1711940, “LS on gaps for SS block measurement in NR”, RAN4</w:t>
      </w:r>
    </w:p>
    <w:p w14:paraId="46ED4856" w14:textId="178F5B69" w:rsidR="00217ED3" w:rsidRDefault="00217ED3" w:rsidP="00D11264">
      <w:pPr>
        <w:spacing w:after="60"/>
        <w:rPr>
          <w:rFonts w:ascii="Arial" w:hAnsi="Arial" w:cs="Arial"/>
          <w:lang w:eastAsia="ko-KR"/>
        </w:rPr>
      </w:pPr>
      <w:r>
        <w:rPr>
          <w:rFonts w:ascii="Arial" w:hAnsi="Arial" w:cs="Arial"/>
          <w:lang w:eastAsia="ko-KR"/>
        </w:rPr>
        <w:t>[2] TS 36.331 V14.4.0</w:t>
      </w:r>
    </w:p>
    <w:p w14:paraId="2CFD7B7B" w14:textId="0AF3F365" w:rsidR="00521294" w:rsidRDefault="00521294" w:rsidP="00D11264">
      <w:pPr>
        <w:spacing w:after="60"/>
        <w:rPr>
          <w:rFonts w:ascii="Arial" w:hAnsi="Arial" w:cs="Arial"/>
          <w:lang w:eastAsia="ko-KR"/>
        </w:rPr>
      </w:pPr>
      <w:r>
        <w:rPr>
          <w:rFonts w:ascii="Arial" w:hAnsi="Arial" w:cs="Arial"/>
          <w:lang w:eastAsia="ko-KR"/>
        </w:rPr>
        <w:t xml:space="preserve">[3] </w:t>
      </w:r>
      <w:r w:rsidRPr="00BC07D3">
        <w:rPr>
          <w:rFonts w:ascii="Arial" w:hAnsi="Arial" w:cs="Arial"/>
          <w:lang w:eastAsia="ko-KR"/>
        </w:rPr>
        <w:t>R4-1711971</w:t>
      </w:r>
      <w:r>
        <w:rPr>
          <w:rFonts w:ascii="Arial" w:hAnsi="Arial" w:cs="Arial"/>
          <w:lang w:eastAsia="ko-KR"/>
        </w:rPr>
        <w:t>, “</w:t>
      </w:r>
      <w:r w:rsidRPr="00BC07D3">
        <w:rPr>
          <w:rFonts w:ascii="Arial" w:hAnsi="Arial" w:cs="Arial"/>
          <w:lang w:eastAsia="ko-KR"/>
        </w:rPr>
        <w:t>TS 38</w:t>
      </w:r>
      <w:r>
        <w:rPr>
          <w:rFonts w:ascii="Arial" w:hAnsi="Arial" w:cs="Arial"/>
          <w:lang w:eastAsia="ko-KR"/>
        </w:rPr>
        <w:t>.104 v0.4.0”</w:t>
      </w:r>
    </w:p>
    <w:p w14:paraId="79E25B25" w14:textId="75E26B41" w:rsidR="001F1154" w:rsidRDefault="003C1DED" w:rsidP="00D11264">
      <w:pPr>
        <w:spacing w:after="60"/>
        <w:rPr>
          <w:rFonts w:ascii="Arial" w:hAnsi="Arial" w:cs="Arial"/>
          <w:lang w:eastAsia="ko-KR"/>
        </w:rPr>
      </w:pPr>
      <w:r>
        <w:rPr>
          <w:rFonts w:ascii="Arial" w:hAnsi="Arial" w:cs="Arial"/>
          <w:lang w:eastAsia="ko-KR"/>
        </w:rPr>
        <w:t>[</w:t>
      </w:r>
      <w:r w:rsidR="00521294">
        <w:rPr>
          <w:rFonts w:ascii="Arial" w:hAnsi="Arial" w:cs="Arial"/>
          <w:lang w:eastAsia="ko-KR"/>
        </w:rPr>
        <w:t>4</w:t>
      </w:r>
      <w:r w:rsidR="001F1154">
        <w:rPr>
          <w:rFonts w:ascii="Arial" w:hAnsi="Arial" w:cs="Arial"/>
          <w:lang w:eastAsia="ko-KR"/>
        </w:rPr>
        <w:t>] R2-17xxxxx, “</w:t>
      </w:r>
      <w:r w:rsidR="00052CC7" w:rsidRPr="00052CC7">
        <w:rPr>
          <w:rFonts w:ascii="Arial" w:hAnsi="Arial" w:cs="Arial"/>
          <w:lang w:eastAsia="ko-KR"/>
        </w:rPr>
        <w:t>LTE Measurement Gap Design for Inter-RAT NR Cell Measurement</w:t>
      </w:r>
      <w:r w:rsidR="001F1154">
        <w:rPr>
          <w:rFonts w:ascii="Arial" w:hAnsi="Arial" w:cs="Arial"/>
          <w:lang w:eastAsia="ko-KR"/>
        </w:rPr>
        <w:t>”, Mediatek</w:t>
      </w:r>
    </w:p>
    <w:p w14:paraId="2FB17505" w14:textId="423C6B30" w:rsidR="00F52B90" w:rsidRPr="00D11264" w:rsidRDefault="00F52B90" w:rsidP="00D928B3">
      <w:pPr>
        <w:spacing w:after="0"/>
        <w:rPr>
          <w:rFonts w:ascii="Arial" w:hAnsi="Arial" w:cs="Arial"/>
          <w:lang w:eastAsia="ko-KR"/>
        </w:rPr>
      </w:pPr>
    </w:p>
    <w:sectPr w:rsidR="00F52B90" w:rsidRPr="00D11264"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C5292" w14:textId="77777777" w:rsidR="00D36916" w:rsidRDefault="00D36916">
      <w:r>
        <w:separator/>
      </w:r>
    </w:p>
  </w:endnote>
  <w:endnote w:type="continuationSeparator" w:id="0">
    <w:p w14:paraId="7693CD12" w14:textId="77777777" w:rsidR="00D36916" w:rsidRDefault="00D3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501D6" w14:textId="77777777" w:rsidR="00D36916" w:rsidRDefault="00D36916">
      <w:r>
        <w:separator/>
      </w:r>
    </w:p>
  </w:footnote>
  <w:footnote w:type="continuationSeparator" w:id="0">
    <w:p w14:paraId="1E4ACB37" w14:textId="77777777" w:rsidR="00D36916" w:rsidRDefault="00D369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4"/>
  </w:num>
  <w:num w:numId="4">
    <w:abstractNumId w:val="19"/>
  </w:num>
  <w:num w:numId="5">
    <w:abstractNumId w:val="9"/>
  </w:num>
  <w:num w:numId="6">
    <w:abstractNumId w:val="17"/>
  </w:num>
  <w:num w:numId="7">
    <w:abstractNumId w:val="18"/>
  </w:num>
  <w:num w:numId="8">
    <w:abstractNumId w:val="15"/>
  </w:num>
  <w:num w:numId="9">
    <w:abstractNumId w:val="3"/>
  </w:num>
  <w:num w:numId="10">
    <w:abstractNumId w:val="6"/>
  </w:num>
  <w:num w:numId="11">
    <w:abstractNumId w:val="20"/>
  </w:num>
  <w:num w:numId="12">
    <w:abstractNumId w:val="10"/>
  </w:num>
  <w:num w:numId="13">
    <w:abstractNumId w:val="1"/>
  </w:num>
  <w:num w:numId="14">
    <w:abstractNumId w:val="24"/>
  </w:num>
  <w:num w:numId="15">
    <w:abstractNumId w:val="5"/>
  </w:num>
  <w:num w:numId="16">
    <w:abstractNumId w:val="21"/>
  </w:num>
  <w:num w:numId="17">
    <w:abstractNumId w:val="7"/>
  </w:num>
  <w:num w:numId="18">
    <w:abstractNumId w:val="12"/>
  </w:num>
  <w:num w:numId="19">
    <w:abstractNumId w:val="8"/>
  </w:num>
  <w:num w:numId="20">
    <w:abstractNumId w:val="25"/>
  </w:num>
  <w:num w:numId="21">
    <w:abstractNumId w:val="23"/>
  </w:num>
  <w:num w:numId="22">
    <w:abstractNumId w:val="13"/>
  </w:num>
  <w:num w:numId="23">
    <w:abstractNumId w:val="16"/>
  </w:num>
  <w:num w:numId="24">
    <w:abstractNumId w:val="11"/>
  </w:num>
  <w:num w:numId="25">
    <w:abstractNumId w:val="26"/>
  </w:num>
  <w:num w:numId="26">
    <w:abstractNumId w:val="22"/>
  </w:num>
  <w:num w:numId="2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A6D"/>
    <w:rsid w:val="00051913"/>
    <w:rsid w:val="00052CC7"/>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6AA0"/>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FA7"/>
    <w:rsid w:val="0009374C"/>
    <w:rsid w:val="00093DAE"/>
    <w:rsid w:val="00094490"/>
    <w:rsid w:val="00094840"/>
    <w:rsid w:val="00095608"/>
    <w:rsid w:val="00096800"/>
    <w:rsid w:val="00096CA7"/>
    <w:rsid w:val="000A04CC"/>
    <w:rsid w:val="000A0924"/>
    <w:rsid w:val="000A114C"/>
    <w:rsid w:val="000A2211"/>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8C1"/>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61F2"/>
    <w:rsid w:val="00106DA0"/>
    <w:rsid w:val="001070AA"/>
    <w:rsid w:val="001106E6"/>
    <w:rsid w:val="001110C6"/>
    <w:rsid w:val="00111BF5"/>
    <w:rsid w:val="00111CF7"/>
    <w:rsid w:val="00112115"/>
    <w:rsid w:val="0011355B"/>
    <w:rsid w:val="00114BBE"/>
    <w:rsid w:val="00117EF2"/>
    <w:rsid w:val="00120A9F"/>
    <w:rsid w:val="001214D4"/>
    <w:rsid w:val="001221B6"/>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60"/>
    <w:rsid w:val="001605DE"/>
    <w:rsid w:val="00160F8F"/>
    <w:rsid w:val="00161C62"/>
    <w:rsid w:val="00162F93"/>
    <w:rsid w:val="00163241"/>
    <w:rsid w:val="0016427F"/>
    <w:rsid w:val="00165CD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36B"/>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41187"/>
    <w:rsid w:val="002412AD"/>
    <w:rsid w:val="002422F3"/>
    <w:rsid w:val="00242C69"/>
    <w:rsid w:val="00243F66"/>
    <w:rsid w:val="002446BD"/>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93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1F9F"/>
    <w:rsid w:val="002B24DC"/>
    <w:rsid w:val="002B34B2"/>
    <w:rsid w:val="002B4CB7"/>
    <w:rsid w:val="002B5399"/>
    <w:rsid w:val="002B6AF2"/>
    <w:rsid w:val="002B6F66"/>
    <w:rsid w:val="002B6F8F"/>
    <w:rsid w:val="002B711A"/>
    <w:rsid w:val="002B72B3"/>
    <w:rsid w:val="002B7F31"/>
    <w:rsid w:val="002C01C2"/>
    <w:rsid w:val="002C0558"/>
    <w:rsid w:val="002C1CC2"/>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D7E"/>
    <w:rsid w:val="002F3F09"/>
    <w:rsid w:val="002F449C"/>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97"/>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5585"/>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D2B"/>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41"/>
    <w:rsid w:val="00454F53"/>
    <w:rsid w:val="00456B60"/>
    <w:rsid w:val="0045754D"/>
    <w:rsid w:val="00460075"/>
    <w:rsid w:val="0046131B"/>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82E"/>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151"/>
    <w:rsid w:val="004929B0"/>
    <w:rsid w:val="00492CED"/>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1294"/>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7CEF"/>
    <w:rsid w:val="0054099C"/>
    <w:rsid w:val="00540F93"/>
    <w:rsid w:val="0054171E"/>
    <w:rsid w:val="005418DB"/>
    <w:rsid w:val="00542904"/>
    <w:rsid w:val="0054336B"/>
    <w:rsid w:val="00543D4E"/>
    <w:rsid w:val="00547241"/>
    <w:rsid w:val="00547CFA"/>
    <w:rsid w:val="00550B2B"/>
    <w:rsid w:val="005515B3"/>
    <w:rsid w:val="00551D89"/>
    <w:rsid w:val="00552733"/>
    <w:rsid w:val="00552971"/>
    <w:rsid w:val="0055339B"/>
    <w:rsid w:val="005536D5"/>
    <w:rsid w:val="005542AF"/>
    <w:rsid w:val="0055542D"/>
    <w:rsid w:val="00555AEC"/>
    <w:rsid w:val="00556292"/>
    <w:rsid w:val="00556F42"/>
    <w:rsid w:val="00556FD6"/>
    <w:rsid w:val="005572D1"/>
    <w:rsid w:val="0055791D"/>
    <w:rsid w:val="00560743"/>
    <w:rsid w:val="005611A0"/>
    <w:rsid w:val="00561ACD"/>
    <w:rsid w:val="00561C80"/>
    <w:rsid w:val="005624C9"/>
    <w:rsid w:val="005629F7"/>
    <w:rsid w:val="00562CAE"/>
    <w:rsid w:val="0056367A"/>
    <w:rsid w:val="00563984"/>
    <w:rsid w:val="005645E3"/>
    <w:rsid w:val="00565420"/>
    <w:rsid w:val="005654FC"/>
    <w:rsid w:val="005658C7"/>
    <w:rsid w:val="005667C5"/>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1BD0"/>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2951"/>
    <w:rsid w:val="006232F8"/>
    <w:rsid w:val="00623BE2"/>
    <w:rsid w:val="00623C49"/>
    <w:rsid w:val="0062404D"/>
    <w:rsid w:val="0062426A"/>
    <w:rsid w:val="00625303"/>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5CD"/>
    <w:rsid w:val="007F086E"/>
    <w:rsid w:val="007F12B1"/>
    <w:rsid w:val="007F13BF"/>
    <w:rsid w:val="007F14F4"/>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A4B"/>
    <w:rsid w:val="00840378"/>
    <w:rsid w:val="00842B3E"/>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0955"/>
    <w:rsid w:val="008C16B1"/>
    <w:rsid w:val="008C1F54"/>
    <w:rsid w:val="008C3008"/>
    <w:rsid w:val="008C3624"/>
    <w:rsid w:val="008C3C9A"/>
    <w:rsid w:val="008C4224"/>
    <w:rsid w:val="008C4346"/>
    <w:rsid w:val="008C4876"/>
    <w:rsid w:val="008C49E5"/>
    <w:rsid w:val="008C4E21"/>
    <w:rsid w:val="008C5228"/>
    <w:rsid w:val="008C52BD"/>
    <w:rsid w:val="008C604E"/>
    <w:rsid w:val="008C6DBD"/>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877"/>
    <w:rsid w:val="008F43C6"/>
    <w:rsid w:val="008F5322"/>
    <w:rsid w:val="008F5558"/>
    <w:rsid w:val="008F5A0E"/>
    <w:rsid w:val="008F64CF"/>
    <w:rsid w:val="008F669E"/>
    <w:rsid w:val="008F686C"/>
    <w:rsid w:val="008F6F70"/>
    <w:rsid w:val="008F75A8"/>
    <w:rsid w:val="008F778B"/>
    <w:rsid w:val="009004DF"/>
    <w:rsid w:val="00900614"/>
    <w:rsid w:val="00900877"/>
    <w:rsid w:val="009008B0"/>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E90"/>
    <w:rsid w:val="00992F4A"/>
    <w:rsid w:val="009931B9"/>
    <w:rsid w:val="009936E6"/>
    <w:rsid w:val="009938F4"/>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5CC1"/>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2C0B"/>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7A83"/>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3E65"/>
    <w:rsid w:val="00A6530D"/>
    <w:rsid w:val="00A65522"/>
    <w:rsid w:val="00A65C34"/>
    <w:rsid w:val="00A66CCF"/>
    <w:rsid w:val="00A675CB"/>
    <w:rsid w:val="00A67722"/>
    <w:rsid w:val="00A67C1C"/>
    <w:rsid w:val="00A7006D"/>
    <w:rsid w:val="00A71E38"/>
    <w:rsid w:val="00A722B8"/>
    <w:rsid w:val="00A731D9"/>
    <w:rsid w:val="00A7433D"/>
    <w:rsid w:val="00A74CC9"/>
    <w:rsid w:val="00A75132"/>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277"/>
    <w:rsid w:val="00C422DB"/>
    <w:rsid w:val="00C42F96"/>
    <w:rsid w:val="00C4323B"/>
    <w:rsid w:val="00C43DF4"/>
    <w:rsid w:val="00C45843"/>
    <w:rsid w:val="00C46070"/>
    <w:rsid w:val="00C46252"/>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A70"/>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6564"/>
    <w:rsid w:val="00CD7B28"/>
    <w:rsid w:val="00CE0305"/>
    <w:rsid w:val="00CE3F38"/>
    <w:rsid w:val="00CE43D6"/>
    <w:rsid w:val="00CE4F9C"/>
    <w:rsid w:val="00CE51F1"/>
    <w:rsid w:val="00CE561D"/>
    <w:rsid w:val="00CE5A3A"/>
    <w:rsid w:val="00CE5E7B"/>
    <w:rsid w:val="00CE6215"/>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D008B6"/>
    <w:rsid w:val="00D00C83"/>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992"/>
    <w:rsid w:val="00D11264"/>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3FC4"/>
    <w:rsid w:val="00D34881"/>
    <w:rsid w:val="00D35E17"/>
    <w:rsid w:val="00D366A2"/>
    <w:rsid w:val="00D368AF"/>
    <w:rsid w:val="00D36916"/>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2E6A"/>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1E68"/>
    <w:rsid w:val="00DA243B"/>
    <w:rsid w:val="00DA2483"/>
    <w:rsid w:val="00DA3044"/>
    <w:rsid w:val="00DA3561"/>
    <w:rsid w:val="00DA39B0"/>
    <w:rsid w:val="00DA45E6"/>
    <w:rsid w:val="00DA5488"/>
    <w:rsid w:val="00DA5B72"/>
    <w:rsid w:val="00DA6051"/>
    <w:rsid w:val="00DA60FF"/>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5471"/>
    <w:rsid w:val="00E15965"/>
    <w:rsid w:val="00E17983"/>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239D"/>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39C2"/>
    <w:rsid w:val="00FC39E2"/>
    <w:rsid w:val="00FC3B57"/>
    <w:rsid w:val="00FC44AB"/>
    <w:rsid w:val="00FC4B13"/>
    <w:rsid w:val="00FC4B17"/>
    <w:rsid w:val="00FC4B95"/>
    <w:rsid w:val="00FC4CB2"/>
    <w:rsid w:val="00FC4FB9"/>
    <w:rsid w:val="00FC52BF"/>
    <w:rsid w:val="00FC5A1C"/>
    <w:rsid w:val="00FC6927"/>
    <w:rsid w:val="00FC6AE2"/>
    <w:rsid w:val="00FC701C"/>
    <w:rsid w:val="00FC72E6"/>
    <w:rsid w:val="00FC7B18"/>
    <w:rsid w:val="00FD1DB9"/>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006F"/>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70648780">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6914019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1D616-C251-491E-A473-457E9EDC1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2017-11-16T07:53:00Z</dcterms:modified>
</cp:coreProperties>
</file>